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6013" w:type="dxa"/>
        <w:tblLook w:val="04A0" w:firstRow="1" w:lastRow="0" w:firstColumn="1" w:lastColumn="0" w:noHBand="0" w:noVBand="1"/>
      </w:tblPr>
      <w:tblGrid>
        <w:gridCol w:w="500"/>
        <w:gridCol w:w="498"/>
        <w:gridCol w:w="549"/>
        <w:gridCol w:w="672"/>
        <w:gridCol w:w="498"/>
        <w:gridCol w:w="862"/>
        <w:gridCol w:w="919"/>
        <w:gridCol w:w="567"/>
        <w:gridCol w:w="678"/>
        <w:gridCol w:w="1040"/>
        <w:gridCol w:w="498"/>
        <w:gridCol w:w="693"/>
        <w:gridCol w:w="4495"/>
        <w:gridCol w:w="3544"/>
      </w:tblGrid>
      <w:tr w:rsidR="00051F98" w:rsidRPr="00051F98" w14:paraId="05E97EF3" w14:textId="77777777" w:rsidTr="00051F98">
        <w:trPr>
          <w:trHeight w:val="330"/>
        </w:trPr>
        <w:tc>
          <w:tcPr>
            <w:tcW w:w="16013" w:type="dxa"/>
            <w:gridSpan w:val="14"/>
            <w:hideMark/>
          </w:tcPr>
          <w:p w14:paraId="772FF57C" w14:textId="6315EC2D" w:rsidR="00051F98" w:rsidRPr="00051F98" w:rsidRDefault="00A2015C" w:rsidP="00A2015C">
            <w:pPr>
              <w:ind w:left="142"/>
              <w:jc w:val="center"/>
              <w:rPr>
                <w:b/>
                <w:bCs/>
                <w:i/>
                <w:iCs/>
              </w:rPr>
            </w:pPr>
            <w:r w:rsidRPr="00051F98">
              <w:rPr>
                <w:b/>
                <w:bCs/>
                <w:i/>
                <w:iCs/>
              </w:rPr>
              <w:t>Отчет, по независимой оценке,</w:t>
            </w:r>
            <w:r w:rsidR="00051F98" w:rsidRPr="00051F98">
              <w:rPr>
                <w:b/>
                <w:bCs/>
                <w:i/>
                <w:iCs/>
              </w:rPr>
              <w:t xml:space="preserve"> качества образовательной деятельности в образовательных организациях, расположенных на территории Кемеровской области - Кузбасса</w:t>
            </w:r>
          </w:p>
        </w:tc>
      </w:tr>
      <w:tr w:rsidR="00A2015C" w:rsidRPr="00051F98" w14:paraId="3E54C0EE" w14:textId="77777777" w:rsidTr="00A2015C">
        <w:trPr>
          <w:trHeight w:val="559"/>
        </w:trPr>
        <w:tc>
          <w:tcPr>
            <w:tcW w:w="500" w:type="dxa"/>
            <w:vMerge w:val="restart"/>
            <w:textDirection w:val="btLr"/>
            <w:hideMark/>
          </w:tcPr>
          <w:p w14:paraId="69B7EF24" w14:textId="77777777" w:rsidR="00051F98" w:rsidRPr="00051F98" w:rsidRDefault="00051F98" w:rsidP="00051F98">
            <w:pPr>
              <w:ind w:left="142" w:right="113"/>
              <w:jc w:val="right"/>
            </w:pPr>
            <w:r w:rsidRPr="00051F98">
              <w:t xml:space="preserve">№ </w:t>
            </w:r>
            <w:proofErr w:type="spellStart"/>
            <w:r w:rsidRPr="00051F98">
              <w:t>пп</w:t>
            </w:r>
            <w:proofErr w:type="spellEnd"/>
          </w:p>
        </w:tc>
        <w:tc>
          <w:tcPr>
            <w:tcW w:w="498" w:type="dxa"/>
            <w:vMerge w:val="restart"/>
            <w:textDirection w:val="btLr"/>
            <w:hideMark/>
          </w:tcPr>
          <w:p w14:paraId="505E2120" w14:textId="77777777" w:rsidR="00051F98" w:rsidRPr="00051F98" w:rsidRDefault="00051F98" w:rsidP="00051F98">
            <w:pPr>
              <w:ind w:left="142" w:right="113"/>
              <w:jc w:val="right"/>
            </w:pPr>
            <w:r w:rsidRPr="00051F98">
              <w:t xml:space="preserve">Код </w:t>
            </w:r>
            <w:proofErr w:type="spellStart"/>
            <w:r w:rsidRPr="00051F98">
              <w:t>органи-зации</w:t>
            </w:r>
            <w:proofErr w:type="spellEnd"/>
          </w:p>
        </w:tc>
        <w:tc>
          <w:tcPr>
            <w:tcW w:w="549" w:type="dxa"/>
            <w:textDirection w:val="btLr"/>
            <w:hideMark/>
          </w:tcPr>
          <w:p w14:paraId="4629BBCA" w14:textId="77777777" w:rsidR="00051F98" w:rsidRPr="00051F98" w:rsidRDefault="00051F98" w:rsidP="00051F98">
            <w:pPr>
              <w:ind w:left="142" w:right="113"/>
              <w:jc w:val="right"/>
            </w:pPr>
            <w:r w:rsidRPr="00051F98">
              <w:t> </w:t>
            </w:r>
          </w:p>
        </w:tc>
        <w:tc>
          <w:tcPr>
            <w:tcW w:w="672" w:type="dxa"/>
            <w:vMerge w:val="restart"/>
            <w:textDirection w:val="btLr"/>
            <w:hideMark/>
          </w:tcPr>
          <w:p w14:paraId="4A161531" w14:textId="77777777" w:rsidR="00051F98" w:rsidRPr="00051F98" w:rsidRDefault="00051F98" w:rsidP="00051F98">
            <w:pPr>
              <w:ind w:left="142" w:right="113"/>
              <w:jc w:val="right"/>
            </w:pPr>
            <w:r w:rsidRPr="00051F98">
              <w:t>Наименование образовательной организации</w:t>
            </w:r>
          </w:p>
        </w:tc>
        <w:tc>
          <w:tcPr>
            <w:tcW w:w="498" w:type="dxa"/>
            <w:vMerge w:val="restart"/>
            <w:textDirection w:val="btLr"/>
            <w:hideMark/>
          </w:tcPr>
          <w:p w14:paraId="4C37C65A" w14:textId="77777777" w:rsidR="00051F98" w:rsidRPr="00051F98" w:rsidRDefault="00051F98" w:rsidP="00051F98">
            <w:pPr>
              <w:ind w:left="142" w:right="113"/>
              <w:jc w:val="right"/>
            </w:pPr>
            <w:r w:rsidRPr="00051F98">
              <w:t xml:space="preserve">Уровень </w:t>
            </w:r>
            <w:proofErr w:type="spellStart"/>
            <w:r w:rsidRPr="00051F98">
              <w:t>образо-вания</w:t>
            </w:r>
            <w:proofErr w:type="spellEnd"/>
          </w:p>
        </w:tc>
        <w:tc>
          <w:tcPr>
            <w:tcW w:w="4066" w:type="dxa"/>
            <w:gridSpan w:val="5"/>
            <w:vAlign w:val="center"/>
            <w:hideMark/>
          </w:tcPr>
          <w:p w14:paraId="12C14476" w14:textId="77777777" w:rsidR="00051F98" w:rsidRPr="00051F98" w:rsidRDefault="00051F98" w:rsidP="00051F98">
            <w:pPr>
              <w:ind w:left="142"/>
            </w:pPr>
            <w:r w:rsidRPr="00051F98">
              <w:t>Суммарный балл по показателям в рамках критерия независимой оценки</w:t>
            </w:r>
          </w:p>
        </w:tc>
        <w:tc>
          <w:tcPr>
            <w:tcW w:w="498" w:type="dxa"/>
            <w:textDirection w:val="btLr"/>
            <w:hideMark/>
          </w:tcPr>
          <w:p w14:paraId="1B6C2D93" w14:textId="7D8A7D99" w:rsidR="00051F98" w:rsidRPr="00051F98" w:rsidRDefault="00051F98" w:rsidP="00051F98">
            <w:pPr>
              <w:ind w:left="113" w:right="113"/>
            </w:pPr>
          </w:p>
        </w:tc>
        <w:tc>
          <w:tcPr>
            <w:tcW w:w="693" w:type="dxa"/>
            <w:textDirection w:val="btLr"/>
            <w:hideMark/>
          </w:tcPr>
          <w:p w14:paraId="201D178D" w14:textId="77777777" w:rsidR="00051F98" w:rsidRPr="00051F98" w:rsidRDefault="00051F98" w:rsidP="00051F98">
            <w:pPr>
              <w:ind w:left="142" w:right="113"/>
              <w:jc w:val="right"/>
            </w:pPr>
            <w:r w:rsidRPr="00051F98">
              <w:t> </w:t>
            </w:r>
          </w:p>
        </w:tc>
        <w:tc>
          <w:tcPr>
            <w:tcW w:w="4495" w:type="dxa"/>
            <w:vMerge w:val="restart"/>
            <w:hideMark/>
          </w:tcPr>
          <w:p w14:paraId="171D4A13" w14:textId="77777777" w:rsidR="00051F98" w:rsidRPr="00051F98" w:rsidRDefault="00051F98" w:rsidP="00A2015C">
            <w:r w:rsidRPr="00051F98">
              <w:t>Замечания организации-оператора</w:t>
            </w:r>
          </w:p>
        </w:tc>
        <w:tc>
          <w:tcPr>
            <w:tcW w:w="3544" w:type="dxa"/>
            <w:vMerge w:val="restart"/>
            <w:hideMark/>
          </w:tcPr>
          <w:p w14:paraId="59AF8A2D" w14:textId="77777777" w:rsidR="00051F98" w:rsidRPr="00051F98" w:rsidRDefault="00051F98" w:rsidP="00A2015C">
            <w:r w:rsidRPr="00051F98">
              <w:t>Рекомендуется предусмотреть в Плане деятельности организации по устранению недостатков, выявленных в ходе проведения независимой оценки</w:t>
            </w:r>
          </w:p>
        </w:tc>
      </w:tr>
      <w:tr w:rsidR="00051F98" w:rsidRPr="00051F98" w14:paraId="11972211" w14:textId="77777777" w:rsidTr="00A2015C">
        <w:trPr>
          <w:cantSplit/>
          <w:trHeight w:val="4002"/>
        </w:trPr>
        <w:tc>
          <w:tcPr>
            <w:tcW w:w="500" w:type="dxa"/>
            <w:vMerge/>
            <w:hideMark/>
          </w:tcPr>
          <w:p w14:paraId="547A4978" w14:textId="77777777" w:rsidR="00051F98" w:rsidRPr="00051F98" w:rsidRDefault="00051F98" w:rsidP="00051F98">
            <w:pPr>
              <w:ind w:left="142"/>
              <w:jc w:val="right"/>
            </w:pPr>
          </w:p>
        </w:tc>
        <w:tc>
          <w:tcPr>
            <w:tcW w:w="498" w:type="dxa"/>
            <w:vMerge/>
            <w:textDirection w:val="btLr"/>
            <w:hideMark/>
          </w:tcPr>
          <w:p w14:paraId="726166B8" w14:textId="77777777" w:rsidR="00051F98" w:rsidRPr="00051F98" w:rsidRDefault="00051F98" w:rsidP="00051F98">
            <w:pPr>
              <w:ind w:left="142" w:right="113"/>
              <w:jc w:val="right"/>
            </w:pPr>
          </w:p>
        </w:tc>
        <w:tc>
          <w:tcPr>
            <w:tcW w:w="549" w:type="dxa"/>
            <w:textDirection w:val="btLr"/>
            <w:hideMark/>
          </w:tcPr>
          <w:p w14:paraId="1DAE90CA" w14:textId="77777777" w:rsidR="00051F98" w:rsidRPr="00051F98" w:rsidRDefault="00051F98" w:rsidP="00051F98">
            <w:pPr>
              <w:ind w:left="142" w:right="113"/>
              <w:jc w:val="right"/>
            </w:pPr>
            <w:r w:rsidRPr="00051F98">
              <w:t>Территория</w:t>
            </w:r>
          </w:p>
        </w:tc>
        <w:tc>
          <w:tcPr>
            <w:tcW w:w="672" w:type="dxa"/>
            <w:vMerge/>
            <w:hideMark/>
          </w:tcPr>
          <w:p w14:paraId="4CF5573F" w14:textId="77777777" w:rsidR="00051F98" w:rsidRPr="00051F98" w:rsidRDefault="00051F98" w:rsidP="00051F98">
            <w:pPr>
              <w:ind w:left="142"/>
              <w:jc w:val="right"/>
            </w:pPr>
          </w:p>
        </w:tc>
        <w:tc>
          <w:tcPr>
            <w:tcW w:w="498" w:type="dxa"/>
            <w:vMerge/>
            <w:hideMark/>
          </w:tcPr>
          <w:p w14:paraId="7B20D8C3" w14:textId="77777777" w:rsidR="00051F98" w:rsidRPr="00051F98" w:rsidRDefault="00051F98" w:rsidP="00051F98">
            <w:pPr>
              <w:ind w:left="142"/>
              <w:jc w:val="right"/>
            </w:pPr>
          </w:p>
        </w:tc>
        <w:tc>
          <w:tcPr>
            <w:tcW w:w="862" w:type="dxa"/>
            <w:textDirection w:val="btLr"/>
            <w:hideMark/>
          </w:tcPr>
          <w:p w14:paraId="3628989E" w14:textId="77777777" w:rsidR="00051F98" w:rsidRPr="00051F98" w:rsidRDefault="00051F98" w:rsidP="00051F98">
            <w:pPr>
              <w:ind w:left="142" w:right="113"/>
              <w:jc w:val="right"/>
            </w:pPr>
            <w:r w:rsidRPr="00051F98">
              <w:t xml:space="preserve">Открытость и доступность информации об организациях, </w:t>
            </w:r>
            <w:proofErr w:type="gramStart"/>
            <w:r w:rsidRPr="00051F98">
              <w:t>осуществляю-</w:t>
            </w:r>
            <w:proofErr w:type="spellStart"/>
            <w:r w:rsidRPr="00051F98">
              <w:t>щих</w:t>
            </w:r>
            <w:proofErr w:type="spellEnd"/>
            <w:proofErr w:type="gramEnd"/>
            <w:r w:rsidRPr="00051F98">
              <w:t xml:space="preserve"> образовательную деятельность (К1)</w:t>
            </w:r>
          </w:p>
        </w:tc>
        <w:tc>
          <w:tcPr>
            <w:tcW w:w="919" w:type="dxa"/>
            <w:textDirection w:val="btLr"/>
            <w:hideMark/>
          </w:tcPr>
          <w:p w14:paraId="4E73AEE7" w14:textId="77777777" w:rsidR="00051F98" w:rsidRPr="00051F98" w:rsidRDefault="00051F98" w:rsidP="00051F98">
            <w:pPr>
              <w:ind w:left="142" w:right="113"/>
              <w:jc w:val="right"/>
            </w:pPr>
            <w:r w:rsidRPr="00051F98">
              <w:t xml:space="preserve">Комфортность условий, в которых </w:t>
            </w:r>
            <w:proofErr w:type="spellStart"/>
            <w:r w:rsidRPr="00051F98">
              <w:t>осуществ-ляется</w:t>
            </w:r>
            <w:proofErr w:type="spellEnd"/>
            <w:r w:rsidRPr="00051F98">
              <w:t xml:space="preserve"> </w:t>
            </w:r>
            <w:proofErr w:type="spellStart"/>
            <w:proofErr w:type="gramStart"/>
            <w:r w:rsidRPr="00051F98">
              <w:t>образова</w:t>
            </w:r>
            <w:proofErr w:type="spellEnd"/>
            <w:r w:rsidRPr="00051F98">
              <w:t>-тельная</w:t>
            </w:r>
            <w:proofErr w:type="gramEnd"/>
            <w:r w:rsidRPr="00051F98">
              <w:t xml:space="preserve"> деятельность (К2)</w:t>
            </w:r>
          </w:p>
        </w:tc>
        <w:tc>
          <w:tcPr>
            <w:tcW w:w="567" w:type="dxa"/>
            <w:textDirection w:val="btLr"/>
            <w:hideMark/>
          </w:tcPr>
          <w:p w14:paraId="4709B506" w14:textId="77777777" w:rsidR="00051F98" w:rsidRPr="00051F98" w:rsidRDefault="00051F98" w:rsidP="00051F98">
            <w:pPr>
              <w:ind w:left="142" w:right="113"/>
              <w:jc w:val="right"/>
            </w:pPr>
            <w:r w:rsidRPr="00051F98">
              <w:t>Доступность услуг для инвалидов (К3)</w:t>
            </w:r>
          </w:p>
        </w:tc>
        <w:tc>
          <w:tcPr>
            <w:tcW w:w="678" w:type="dxa"/>
            <w:textDirection w:val="btLr"/>
            <w:hideMark/>
          </w:tcPr>
          <w:p w14:paraId="5A72909A" w14:textId="77777777" w:rsidR="00051F98" w:rsidRPr="00051F98" w:rsidRDefault="00051F98" w:rsidP="00051F98">
            <w:pPr>
              <w:ind w:left="142" w:right="113"/>
              <w:jc w:val="right"/>
            </w:pPr>
            <w:proofErr w:type="spellStart"/>
            <w:r w:rsidRPr="00051F98">
              <w:t>Доброжела</w:t>
            </w:r>
            <w:proofErr w:type="spellEnd"/>
            <w:r w:rsidRPr="00051F98">
              <w:t>-тельность, вежливость работников (К4)</w:t>
            </w:r>
          </w:p>
        </w:tc>
        <w:tc>
          <w:tcPr>
            <w:tcW w:w="1040" w:type="dxa"/>
            <w:textDirection w:val="btLr"/>
            <w:hideMark/>
          </w:tcPr>
          <w:p w14:paraId="78225396" w14:textId="77777777" w:rsidR="00051F98" w:rsidRPr="00051F98" w:rsidRDefault="00051F98" w:rsidP="00051F98">
            <w:pPr>
              <w:ind w:left="142" w:right="113"/>
              <w:jc w:val="right"/>
            </w:pPr>
            <w:proofErr w:type="spellStart"/>
            <w:r w:rsidRPr="00051F98">
              <w:t>Удовлетво-ренность</w:t>
            </w:r>
            <w:proofErr w:type="spellEnd"/>
            <w:r w:rsidRPr="00051F98">
              <w:t xml:space="preserve"> условиями ведения </w:t>
            </w:r>
            <w:proofErr w:type="spellStart"/>
            <w:proofErr w:type="gramStart"/>
            <w:r w:rsidRPr="00051F98">
              <w:t>образова</w:t>
            </w:r>
            <w:proofErr w:type="spellEnd"/>
            <w:r w:rsidRPr="00051F98">
              <w:t>-тельной</w:t>
            </w:r>
            <w:proofErr w:type="gramEnd"/>
            <w:r w:rsidRPr="00051F98">
              <w:t xml:space="preserve"> деятельности организаций (К5)</w:t>
            </w:r>
          </w:p>
        </w:tc>
        <w:tc>
          <w:tcPr>
            <w:tcW w:w="498" w:type="dxa"/>
            <w:textDirection w:val="btLr"/>
            <w:hideMark/>
          </w:tcPr>
          <w:p w14:paraId="57ED940E" w14:textId="1CE80B3D" w:rsidR="00051F98" w:rsidRPr="00051F98" w:rsidRDefault="00051F98" w:rsidP="00051F98">
            <w:pPr>
              <w:ind w:left="142" w:right="113"/>
              <w:jc w:val="right"/>
            </w:pPr>
            <w:r w:rsidRPr="00051F98">
              <w:t>Итоговый балл</w:t>
            </w:r>
          </w:p>
        </w:tc>
        <w:tc>
          <w:tcPr>
            <w:tcW w:w="693" w:type="dxa"/>
            <w:textDirection w:val="btLr"/>
            <w:hideMark/>
          </w:tcPr>
          <w:p w14:paraId="5055D2F3" w14:textId="77777777" w:rsidR="00051F98" w:rsidRPr="00051F98" w:rsidRDefault="00051F98" w:rsidP="00051F98">
            <w:pPr>
              <w:ind w:left="142" w:right="113"/>
              <w:jc w:val="right"/>
            </w:pPr>
            <w:r w:rsidRPr="00051F98">
              <w:t>Место в рейтинге</w:t>
            </w:r>
          </w:p>
        </w:tc>
        <w:tc>
          <w:tcPr>
            <w:tcW w:w="4495" w:type="dxa"/>
            <w:vMerge/>
            <w:hideMark/>
          </w:tcPr>
          <w:p w14:paraId="078A8368" w14:textId="77777777" w:rsidR="00051F98" w:rsidRPr="00051F98" w:rsidRDefault="00051F98" w:rsidP="00051F98">
            <w:pPr>
              <w:ind w:left="142"/>
            </w:pPr>
          </w:p>
        </w:tc>
        <w:tc>
          <w:tcPr>
            <w:tcW w:w="3544" w:type="dxa"/>
            <w:vMerge/>
            <w:hideMark/>
          </w:tcPr>
          <w:p w14:paraId="67DFD910" w14:textId="77777777" w:rsidR="00051F98" w:rsidRPr="00051F98" w:rsidRDefault="00051F98" w:rsidP="00051F98">
            <w:pPr>
              <w:ind w:left="142"/>
            </w:pPr>
          </w:p>
        </w:tc>
      </w:tr>
      <w:tr w:rsidR="00051F98" w:rsidRPr="00051F98" w14:paraId="66B1560F" w14:textId="77777777" w:rsidTr="00A2015C">
        <w:trPr>
          <w:cantSplit/>
          <w:trHeight w:val="3826"/>
        </w:trPr>
        <w:tc>
          <w:tcPr>
            <w:tcW w:w="500" w:type="dxa"/>
            <w:textDirection w:val="btLr"/>
            <w:hideMark/>
          </w:tcPr>
          <w:p w14:paraId="74094400" w14:textId="77777777" w:rsidR="00051F98" w:rsidRPr="00051F98" w:rsidRDefault="00051F98" w:rsidP="00051F98">
            <w:pPr>
              <w:ind w:left="142" w:right="113"/>
              <w:jc w:val="right"/>
            </w:pPr>
            <w:r w:rsidRPr="00051F98">
              <w:lastRenderedPageBreak/>
              <w:t>248</w:t>
            </w:r>
          </w:p>
        </w:tc>
        <w:tc>
          <w:tcPr>
            <w:tcW w:w="498" w:type="dxa"/>
            <w:textDirection w:val="btLr"/>
            <w:hideMark/>
          </w:tcPr>
          <w:p w14:paraId="2282A059" w14:textId="77777777" w:rsidR="00051F98" w:rsidRPr="00051F98" w:rsidRDefault="00051F98" w:rsidP="00051F98">
            <w:pPr>
              <w:ind w:left="142" w:right="113"/>
              <w:jc w:val="right"/>
            </w:pPr>
            <w:r w:rsidRPr="00051F98">
              <w:t>253</w:t>
            </w:r>
          </w:p>
        </w:tc>
        <w:tc>
          <w:tcPr>
            <w:tcW w:w="549" w:type="dxa"/>
            <w:textDirection w:val="btLr"/>
            <w:hideMark/>
          </w:tcPr>
          <w:p w14:paraId="084E42FD" w14:textId="77777777" w:rsidR="00051F98" w:rsidRPr="00051F98" w:rsidRDefault="00051F98" w:rsidP="00051F98">
            <w:pPr>
              <w:ind w:left="142" w:right="113"/>
              <w:jc w:val="right"/>
            </w:pPr>
            <w:r w:rsidRPr="00051F98">
              <w:t>г. Киселёвск</w:t>
            </w:r>
          </w:p>
        </w:tc>
        <w:tc>
          <w:tcPr>
            <w:tcW w:w="672" w:type="dxa"/>
            <w:textDirection w:val="btLr"/>
            <w:hideMark/>
          </w:tcPr>
          <w:p w14:paraId="3D6C906B" w14:textId="77777777" w:rsidR="00051F98" w:rsidRPr="00051F98" w:rsidRDefault="00051F98" w:rsidP="00051F98">
            <w:pPr>
              <w:ind w:left="142" w:right="113"/>
              <w:jc w:val="right"/>
            </w:pPr>
            <w:r w:rsidRPr="00051F98">
              <w:t>МБДОУ Киселевского ГО детский сад №58 комбинированного вида</w:t>
            </w:r>
          </w:p>
        </w:tc>
        <w:tc>
          <w:tcPr>
            <w:tcW w:w="498" w:type="dxa"/>
            <w:textDirection w:val="btLr"/>
            <w:hideMark/>
          </w:tcPr>
          <w:p w14:paraId="08ED2EAB" w14:textId="77777777" w:rsidR="00051F98" w:rsidRPr="00051F98" w:rsidRDefault="00051F98" w:rsidP="00051F98">
            <w:pPr>
              <w:ind w:left="142" w:right="113"/>
              <w:jc w:val="right"/>
            </w:pPr>
            <w:r w:rsidRPr="00051F98">
              <w:t>ДО</w:t>
            </w:r>
          </w:p>
        </w:tc>
        <w:tc>
          <w:tcPr>
            <w:tcW w:w="862" w:type="dxa"/>
            <w:textDirection w:val="btLr"/>
            <w:hideMark/>
          </w:tcPr>
          <w:p w14:paraId="0E2408C7" w14:textId="77777777" w:rsidR="00051F98" w:rsidRPr="00051F98" w:rsidRDefault="00051F98" w:rsidP="00051F98">
            <w:pPr>
              <w:ind w:left="142" w:right="113"/>
              <w:jc w:val="right"/>
            </w:pPr>
            <w:r w:rsidRPr="00051F98">
              <w:t>95,9</w:t>
            </w:r>
          </w:p>
        </w:tc>
        <w:tc>
          <w:tcPr>
            <w:tcW w:w="919" w:type="dxa"/>
            <w:textDirection w:val="btLr"/>
            <w:hideMark/>
          </w:tcPr>
          <w:p w14:paraId="177165AE" w14:textId="77777777" w:rsidR="00051F98" w:rsidRPr="00051F98" w:rsidRDefault="00051F98" w:rsidP="00051F98">
            <w:pPr>
              <w:ind w:left="142" w:right="113"/>
              <w:jc w:val="right"/>
            </w:pPr>
            <w:r w:rsidRPr="00051F98">
              <w:t>98,0</w:t>
            </w:r>
          </w:p>
        </w:tc>
        <w:tc>
          <w:tcPr>
            <w:tcW w:w="567" w:type="dxa"/>
            <w:noWrap/>
            <w:textDirection w:val="btLr"/>
            <w:hideMark/>
          </w:tcPr>
          <w:p w14:paraId="74567E34" w14:textId="77777777" w:rsidR="00051F98" w:rsidRPr="00051F98" w:rsidRDefault="00051F98" w:rsidP="00051F98">
            <w:pPr>
              <w:ind w:left="142" w:right="113"/>
              <w:jc w:val="right"/>
            </w:pPr>
            <w:r w:rsidRPr="00051F98">
              <w:t>56,8</w:t>
            </w:r>
          </w:p>
        </w:tc>
        <w:tc>
          <w:tcPr>
            <w:tcW w:w="678" w:type="dxa"/>
            <w:textDirection w:val="btLr"/>
            <w:hideMark/>
          </w:tcPr>
          <w:p w14:paraId="3534815C" w14:textId="77777777" w:rsidR="00051F98" w:rsidRPr="00051F98" w:rsidRDefault="00051F98" w:rsidP="00051F98">
            <w:pPr>
              <w:ind w:left="142" w:right="113"/>
              <w:jc w:val="right"/>
            </w:pPr>
            <w:r w:rsidRPr="00051F98">
              <w:t>98,2</w:t>
            </w:r>
          </w:p>
        </w:tc>
        <w:tc>
          <w:tcPr>
            <w:tcW w:w="1040" w:type="dxa"/>
            <w:textDirection w:val="btLr"/>
            <w:hideMark/>
          </w:tcPr>
          <w:p w14:paraId="3A5372A0" w14:textId="77777777" w:rsidR="00051F98" w:rsidRPr="00051F98" w:rsidRDefault="00051F98" w:rsidP="00051F98">
            <w:pPr>
              <w:ind w:left="142" w:right="113"/>
              <w:jc w:val="right"/>
            </w:pPr>
            <w:r w:rsidRPr="00051F98">
              <w:t>91,2</w:t>
            </w:r>
          </w:p>
        </w:tc>
        <w:tc>
          <w:tcPr>
            <w:tcW w:w="498" w:type="dxa"/>
            <w:noWrap/>
            <w:textDirection w:val="btLr"/>
            <w:hideMark/>
          </w:tcPr>
          <w:p w14:paraId="2E61338D" w14:textId="77777777" w:rsidR="00051F98" w:rsidRPr="00A2015C" w:rsidRDefault="00051F98" w:rsidP="00051F98">
            <w:pPr>
              <w:ind w:left="142" w:right="113"/>
              <w:jc w:val="right"/>
              <w:rPr>
                <w:b/>
                <w:bCs/>
              </w:rPr>
            </w:pPr>
            <w:r w:rsidRPr="00A2015C">
              <w:rPr>
                <w:b/>
                <w:bCs/>
              </w:rPr>
              <w:t>88,02</w:t>
            </w:r>
          </w:p>
        </w:tc>
        <w:tc>
          <w:tcPr>
            <w:tcW w:w="693" w:type="dxa"/>
            <w:noWrap/>
            <w:hideMark/>
          </w:tcPr>
          <w:p w14:paraId="62037060" w14:textId="77777777" w:rsidR="00051F98" w:rsidRPr="00051F98" w:rsidRDefault="00051F98" w:rsidP="00051F98">
            <w:pPr>
              <w:ind w:left="142"/>
              <w:rPr>
                <w:b/>
                <w:bCs/>
              </w:rPr>
            </w:pPr>
            <w:r w:rsidRPr="00051F98">
              <w:rPr>
                <w:b/>
                <w:bCs/>
              </w:rPr>
              <w:t>440</w:t>
            </w:r>
          </w:p>
        </w:tc>
        <w:tc>
          <w:tcPr>
            <w:tcW w:w="4495" w:type="dxa"/>
            <w:hideMark/>
          </w:tcPr>
          <w:p w14:paraId="6D8B2EA1" w14:textId="77777777" w:rsidR="00051F98" w:rsidRDefault="00051F98" w:rsidP="00A2015C">
            <w:pPr>
              <w:ind w:left="-4"/>
            </w:pPr>
            <w:r w:rsidRPr="00051F98">
              <w:t xml:space="preserve">Отсутствуют (в том числе частично) материалы: САЙТ: Доступная среда Информация о специальных условиях для обучения инвалидов и лиц с ограниченными возможностями здоровья, в том </w:t>
            </w:r>
            <w:proofErr w:type="spellStart"/>
            <w:r w:rsidRPr="00051F98">
              <w:t>числе:О</w:t>
            </w:r>
            <w:proofErr w:type="spellEnd"/>
            <w:r w:rsidRPr="00051F98">
              <w:t xml:space="preserve"> наличии специальных технических средств обучения коллективного и индивидуального </w:t>
            </w:r>
            <w:proofErr w:type="spellStart"/>
            <w:r w:rsidRPr="00051F98">
              <w:t>пользованияНаличие</w:t>
            </w:r>
            <w:proofErr w:type="spellEnd"/>
            <w:r w:rsidRPr="00051F98">
              <w:t xml:space="preserve">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w:t>
            </w:r>
            <w:proofErr w:type="spellStart"/>
            <w:r w:rsidRPr="00051F98">
              <w:t>вопросы"Наличие</w:t>
            </w:r>
            <w:proofErr w:type="spellEnd"/>
            <w:r w:rsidRPr="00051F98">
              <w:t xml:space="preserve">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 Необходимые условия комфорта присутствуют, однако есть получатели услуг, не полностью удовлетворенные комфортностью условий. Отсутствуют следующие условия доступной среды: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Оборудование территории, прилегающей к образовательной организации, и ее помещений с учетом доступности инвалидов: Наличие сменных кресел-колясок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Обеспечение в организации условий </w:t>
            </w:r>
            <w:r w:rsidRPr="00051F98">
              <w:lastRenderedPageBreak/>
              <w:t>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w:t>
            </w:r>
            <w:proofErr w:type="spellStart"/>
            <w:r w:rsidRPr="00051F98">
              <w:t>тифлосурдопереводчика</w:t>
            </w:r>
            <w:proofErr w:type="spellEnd"/>
            <w:r w:rsidRPr="00051F98">
              <w:t>)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Часть получателей услуг не удовлетворены доброжелательностью и вежливостью работников организации. Часть получателей услуг не удовлетворены организационными или иными условиями оказания услуг и/или не готовы рекомендовать данную организацию другим людям.</w:t>
            </w:r>
          </w:p>
          <w:p w14:paraId="38FB1002" w14:textId="3AB28453" w:rsidR="00A2015C" w:rsidRPr="00051F98" w:rsidRDefault="00A2015C" w:rsidP="00A2015C">
            <w:pPr>
              <w:ind w:left="-4"/>
            </w:pPr>
          </w:p>
        </w:tc>
        <w:tc>
          <w:tcPr>
            <w:tcW w:w="3544" w:type="dxa"/>
            <w:hideMark/>
          </w:tcPr>
          <w:p w14:paraId="12A1DD3E" w14:textId="77777777" w:rsidR="00051F98" w:rsidRPr="00051F98" w:rsidRDefault="00051F98" w:rsidP="00A2015C">
            <w:r w:rsidRPr="00051F98">
              <w:lastRenderedPageBreak/>
              <w:t>Поддерживать открытость и доступность информации, производить регулярный аудит информации, представленной на сайте и стенде организации. Обеспечить указанные недостающие материалы. Повышать комфортность условий, регулярно проводить опрос получателей услуг с целью дальнейшего удовлетворения их потребностей. Обеспечить указанные недостающие условия доступной среды для инвалидов. Повышать уровень доброжелательности и вежливости работников, оказывающих услуги, в том числе дистанционно (Проведение разъяснительной работы с сотрудниками по вопросам соблюдения общих принципов профессиональной и служебной этики. Проведение специализированных деловых игр по образцу тренинга "Живет повсюду доброта" и других аналогичных. Сплочение коллектива, развитие эмпатии, коммуникативных способностей, позитивных эмоций</w:t>
            </w:r>
            <w:proofErr w:type="gramStart"/>
            <w:r w:rsidRPr="00051F98">
              <w:t>)</w:t>
            </w:r>
            <w:proofErr w:type="gramEnd"/>
            <w:r w:rsidRPr="00051F98">
              <w:t xml:space="preserve"> Повышать качество организационных и других условий оказания услуг, регулярно проводить опросы получателей услуг, для дальнейшего удовлетворения их потребностей (при возможности).</w:t>
            </w:r>
          </w:p>
        </w:tc>
      </w:tr>
    </w:tbl>
    <w:p w14:paraId="230356C5" w14:textId="77777777" w:rsidR="00051F98" w:rsidRDefault="00051F98" w:rsidP="00A2015C"/>
    <w:sectPr w:rsidR="00051F98" w:rsidSect="00A2015C">
      <w:pgSz w:w="16838" w:h="11906" w:orient="landscape"/>
      <w:pgMar w:top="426" w:right="1134" w:bottom="142"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98"/>
    <w:rsid w:val="00051F98"/>
    <w:rsid w:val="00A20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98CD"/>
  <w15:chartTrackingRefBased/>
  <w15:docId w15:val="{04F36020-2566-430F-A5D1-BAEEFD68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7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692</Words>
  <Characters>3950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2023-01-18T02:56:00Z</dcterms:created>
  <dcterms:modified xsi:type="dcterms:W3CDTF">2023-01-18T03:13:00Z</dcterms:modified>
</cp:coreProperties>
</file>